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4C49B5" w:rsidRDefault="004C49B5">
      <w:pPr>
        <w:spacing w:line="150" w:lineRule="exact"/>
      </w:pPr>
      <w:bookmarkStart w:id="0" w:name="_GoBack"/>
      <w:bookmarkEnd w:id="0"/>
    </w:p>
    <w:p w:rsidR="008547A8" w:rsidRDefault="008547A8">
      <w:pPr>
        <w:spacing w:line="150" w:lineRule="exact"/>
      </w:pPr>
    </w:p>
    <w:p w:rsidR="008547A8" w:rsidRDefault="008547A8">
      <w:pPr>
        <w:spacing w:line="150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8790"/>
      </w:tblGrid>
      <w:tr w:rsidR="004C49B5">
        <w:trPr>
          <w:trHeight w:val="3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4C49B5" w:rsidRDefault="008547A8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ПАСПОРТ</w:t>
            </w:r>
          </w:p>
        </w:tc>
      </w:tr>
      <w:tr w:rsidR="004C49B5">
        <w:trPr>
          <w:trHeight w:val="3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4C49B5" w:rsidRDefault="008547A8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муниципальной программы</w:t>
            </w:r>
          </w:p>
        </w:tc>
      </w:tr>
      <w:tr w:rsidR="004C49B5">
        <w:trPr>
          <w:trHeight w:val="99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8790" w:type="dxa"/>
            <w:shd w:val="clear" w:color="auto" w:fill="auto"/>
          </w:tcPr>
          <w:p w:rsidR="004C49B5" w:rsidRDefault="008547A8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</w:p>
        </w:tc>
      </w:tr>
    </w:tbl>
    <w:p w:rsidR="004C49B5" w:rsidRDefault="004C49B5">
      <w:pPr>
        <w:spacing w:line="765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885"/>
        <w:gridCol w:w="4650"/>
      </w:tblGrid>
      <w:tr w:rsidR="004C49B5">
        <w:trPr>
          <w:trHeight w:val="133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Ответственный исполнитель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 xml:space="preserve">Администрация Арамильского </w:t>
            </w:r>
            <w:r>
              <w:rPr>
                <w:rStyle w:val="CharacterStyle2"/>
                <w:rFonts w:eastAsia="Calibri"/>
              </w:rPr>
              <w:t>городского округа</w:t>
            </w:r>
          </w:p>
        </w:tc>
      </w:tr>
      <w:tr w:rsidR="004C49B5">
        <w:trPr>
          <w:trHeight w:val="100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2024 -</w:t>
            </w:r>
          </w:p>
        </w:tc>
        <w:tc>
          <w:tcPr>
            <w:tcW w:w="46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2027 годы</w:t>
            </w:r>
          </w:p>
        </w:tc>
      </w:tr>
      <w:tr w:rsidR="004C49B5">
        <w:trPr>
          <w:trHeight w:val="100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Цели и задачи муниципальной программы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Цель 1. Обеспечение комплексного развития коммунальной инфраструктуры на территории Арамильского городского округа</w:t>
            </w:r>
          </w:p>
        </w:tc>
      </w:tr>
      <w:tr w:rsidR="004C49B5">
        <w:trPr>
          <w:trHeight w:val="6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Задача 1.1. </w:t>
            </w:r>
            <w:r>
              <w:rPr>
                <w:rStyle w:val="CharacterStyle5"/>
                <w:rFonts w:eastAsia="Calibri"/>
              </w:rPr>
              <w:t>Развитие системы теплоснабжения</w:t>
            </w:r>
          </w:p>
        </w:tc>
      </w:tr>
      <w:tr w:rsidR="004C49B5">
        <w:trPr>
          <w:trHeight w:val="6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1.2. Развитие системы водоснабжения и водоотведения</w:t>
            </w:r>
          </w:p>
        </w:tc>
      </w:tr>
      <w:tr w:rsidR="004C49B5">
        <w:trPr>
          <w:trHeight w:val="6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1.3. Развитие системы электроснабжения</w:t>
            </w:r>
          </w:p>
        </w:tc>
      </w:tr>
      <w:tr w:rsidR="004C49B5">
        <w:trPr>
          <w:trHeight w:val="13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1.4. Обеспечение мероприятий по осуществлению технического обследования и актуализации схем теплоснабже</w:t>
            </w:r>
            <w:r>
              <w:rPr>
                <w:rStyle w:val="CharacterStyle5"/>
                <w:rFonts w:eastAsia="Calibri"/>
              </w:rPr>
              <w:t>ния, водоснабжения, водоотведения</w:t>
            </w:r>
          </w:p>
        </w:tc>
      </w:tr>
      <w:tr w:rsidR="004C49B5">
        <w:trPr>
          <w:trHeight w:val="6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1.5. Снижение задолженности за топливно-энергетические ресурсы</w:t>
            </w:r>
          </w:p>
        </w:tc>
      </w:tr>
      <w:tr w:rsidR="004C49B5">
        <w:trPr>
          <w:trHeight w:val="99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2. Обеспечение рационального и безопасного природопользования на территории Арамильского городского округа</w:t>
            </w:r>
          </w:p>
        </w:tc>
      </w:tr>
      <w:tr w:rsidR="004C49B5">
        <w:trPr>
          <w:trHeight w:val="13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Задача 2.1. </w:t>
            </w:r>
            <w:r>
              <w:rPr>
                <w:rStyle w:val="CharacterStyle5"/>
                <w:rFonts w:eastAsia="Calibri"/>
              </w:rPr>
              <w:t>Реализация мероприятий в сфере обращения с твердыми коммунальными отходами и особо опасными отходами на территории Арамильского городского округа</w:t>
            </w:r>
          </w:p>
        </w:tc>
      </w:tr>
    </w:tbl>
    <w:p w:rsidR="004C49B5" w:rsidRDefault="004C49B5">
      <w:pPr>
        <w:sectPr w:rsidR="004C49B5">
          <w:headerReference w:type="default" r:id="rId6"/>
          <w:footerReference w:type="default" r:id="rId7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4C49B5">
        <w:trPr>
          <w:trHeight w:val="165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Задача 2.2. Поддержание санитарного состояния Арамильского </w:t>
            </w:r>
            <w:r>
              <w:rPr>
                <w:rStyle w:val="CharacterStyle5"/>
                <w:rFonts w:eastAsia="Calibri"/>
              </w:rPr>
              <w:t>водохранилища и источников нецентрализованного водоснабжения на территории Арамильского городского округа</w:t>
            </w:r>
          </w:p>
        </w:tc>
      </w:tr>
      <w:tr w:rsidR="004C49B5">
        <w:trPr>
          <w:trHeight w:val="6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2.3. Обеспечение деятельности по обращению с животными без владельцев</w:t>
            </w:r>
          </w:p>
        </w:tc>
      </w:tr>
      <w:tr w:rsidR="004C49B5">
        <w:trPr>
          <w:trHeight w:val="130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Задача 2.4. Проведение мероприятий по обеспечению </w:t>
            </w:r>
            <w:r>
              <w:rPr>
                <w:rStyle w:val="CharacterStyle5"/>
                <w:rFonts w:eastAsia="Calibri"/>
              </w:rPr>
              <w:t>противоэпидемического благополучия на территории Арамильского городского округа</w:t>
            </w:r>
          </w:p>
        </w:tc>
      </w:tr>
      <w:tr w:rsidR="004C49B5">
        <w:trPr>
          <w:trHeight w:val="165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Цель 3. Повышение энергетической эффективности использования энергетических ресурсов на объектах всех форм собственности на территории Арамильского городского округа</w:t>
            </w:r>
          </w:p>
        </w:tc>
      </w:tr>
      <w:tr w:rsidR="004C49B5">
        <w:trPr>
          <w:trHeight w:val="13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3.1. Обеспечение энергосбережения и повышение энергоэффективности объектов бюджетной сферы, жилищного фонда Арамильского городского округа</w:t>
            </w:r>
          </w:p>
        </w:tc>
      </w:tr>
      <w:tr w:rsidR="004C49B5">
        <w:trPr>
          <w:trHeight w:val="13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Задача 3.2. Обеспечение энергосбережения и повышение энергоэффективности систем коммунальной </w:t>
            </w:r>
            <w:r>
              <w:rPr>
                <w:rStyle w:val="CharacterStyle5"/>
                <w:rFonts w:eastAsia="Calibri"/>
              </w:rPr>
              <w:t>инфраструктуры Арамильского городского округа</w:t>
            </w:r>
          </w:p>
        </w:tc>
      </w:tr>
      <w:tr w:rsidR="004C49B5">
        <w:trPr>
          <w:trHeight w:val="130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3.3. Обеспечение информирования населения и организаций по энергосбережению и повышению энергетической эффектвиности</w:t>
            </w:r>
          </w:p>
        </w:tc>
      </w:tr>
      <w:tr w:rsidR="004C49B5">
        <w:trPr>
          <w:trHeight w:val="13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Цель 4. Содержание территории общего пользования Арамильского </w:t>
            </w:r>
            <w:r>
              <w:rPr>
                <w:rStyle w:val="CharacterStyle5"/>
                <w:rFonts w:eastAsia="Calibri"/>
              </w:rPr>
              <w:t>городского округа и расположенных на ней объектов в надлежащем состоянии</w:t>
            </w:r>
          </w:p>
        </w:tc>
      </w:tr>
      <w:tr w:rsidR="004C49B5">
        <w:trPr>
          <w:trHeight w:val="165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Задача 4.1. Организация и поддержание оптимального функционального и эстетического состояния мест общего пользования на территории Арамильского городского округа</w:t>
            </w:r>
          </w:p>
        </w:tc>
      </w:tr>
    </w:tbl>
    <w:p w:rsidR="004C49B5" w:rsidRDefault="004C49B5">
      <w:pPr>
        <w:sectPr w:rsidR="004C49B5">
          <w:headerReference w:type="default" r:id="rId8"/>
          <w:footerReference w:type="default" r:id="rId9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4C49B5">
        <w:trPr>
          <w:trHeight w:val="133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Перечень подпрограмм муниципальной программы (при их наличии)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1. Развитие коммунальной инфраструктуры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2. Чистая среда</w:t>
            </w:r>
          </w:p>
        </w:tc>
      </w:tr>
      <w:tr w:rsidR="004C49B5">
        <w:trPr>
          <w:trHeight w:val="67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3. Энергосбережение и повышение энергетической эффективности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6"/>
              <w:rPr>
                <w:rStyle w:val="CharacterStyle6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4. Благоустройство территории</w:t>
            </w:r>
          </w:p>
        </w:tc>
      </w:tr>
      <w:tr w:rsidR="004C49B5">
        <w:trPr>
          <w:trHeight w:val="136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 xml:space="preserve">Перечень основных целевых </w:t>
            </w:r>
            <w:r>
              <w:rPr>
                <w:rStyle w:val="CharacterStyle7"/>
                <w:rFonts w:eastAsia="Calibri"/>
              </w:rPr>
              <w:t>показателей муниципальной программы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8"/>
              <w:rPr>
                <w:rStyle w:val="CharacterStyle8"/>
                <w:rFonts w:eastAsia="Calibri"/>
              </w:rPr>
            </w:pPr>
            <w:r>
              <w:rPr>
                <w:rStyle w:val="CharacterStyle8"/>
                <w:rFonts w:eastAsia="Calibri"/>
              </w:rPr>
              <w:t>1. Протяженность отремонтированных сетей теплоснабжения</w:t>
            </w:r>
          </w:p>
        </w:tc>
      </w:tr>
      <w:tr w:rsidR="004C49B5">
        <w:trPr>
          <w:trHeight w:val="133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2. Количество проведенных технических обследований, проведенных актуализаций схем водоснабжения, водоотведения и теплоснабжения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 xml:space="preserve">3. Количество </w:t>
            </w:r>
            <w:r>
              <w:rPr>
                <w:rStyle w:val="CharacterStyle10"/>
                <w:rFonts w:eastAsia="Calibri"/>
              </w:rPr>
              <w:t>построенных котельных</w:t>
            </w:r>
          </w:p>
        </w:tc>
      </w:tr>
      <w:tr w:rsidR="004C49B5">
        <w:trPr>
          <w:trHeight w:val="69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4. Количество проектов, разработанных в сфере жилищно-коммунального хозяйства</w:t>
            </w:r>
          </w:p>
        </w:tc>
      </w:tr>
      <w:tr w:rsidR="004C49B5">
        <w:trPr>
          <w:trHeight w:val="100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5. Доля модернизированных контейнерных площадок для твердых коммунальных отходов от их общего количества</w:t>
            </w:r>
          </w:p>
        </w:tc>
      </w:tr>
      <w:tr w:rsidR="004C49B5">
        <w:trPr>
          <w:trHeight w:val="10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 xml:space="preserve">6. Доля ликвидированных </w:t>
            </w:r>
            <w:r>
              <w:rPr>
                <w:rStyle w:val="CharacterStyle10"/>
                <w:rFonts w:eastAsia="Calibri"/>
              </w:rPr>
              <w:t>несанкционированных навалов мусора от общего их количества</w:t>
            </w:r>
          </w:p>
        </w:tc>
      </w:tr>
      <w:tr w:rsidR="004C49B5">
        <w:trPr>
          <w:trHeight w:val="199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 xml:space="preserve">7. Доля направленных на утилизацию отходов, выделенных в результате раздельного накопления и обработки (сортировки) твердых коммунальных отходов, в общей массе образованных твердых коммунальных </w:t>
            </w:r>
            <w:r>
              <w:rPr>
                <w:rStyle w:val="CharacterStyle10"/>
                <w:rFonts w:eastAsia="Calibri"/>
              </w:rPr>
              <w:t>отходов</w:t>
            </w:r>
          </w:p>
        </w:tc>
      </w:tr>
      <w:tr w:rsidR="004C49B5">
        <w:trPr>
          <w:trHeight w:val="69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8. Количество обращений жителей по отлову животных без владельцев</w:t>
            </w:r>
          </w:p>
        </w:tc>
      </w:tr>
      <w:tr w:rsidR="004C49B5">
        <w:trPr>
          <w:trHeight w:val="100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9. Площадь территорий, охваченных дератизацией, дезинсекцией, акарицидной обработкой</w:t>
            </w:r>
          </w:p>
        </w:tc>
      </w:tr>
      <w:tr w:rsidR="004C49B5">
        <w:trPr>
          <w:trHeight w:val="10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10. Доля населения, получившего информацию о состоянии окружающей среды</w:t>
            </w:r>
          </w:p>
        </w:tc>
      </w:tr>
    </w:tbl>
    <w:p w:rsidR="004C49B5" w:rsidRDefault="004C49B5">
      <w:pPr>
        <w:sectPr w:rsidR="004C49B5">
          <w:headerReference w:type="default" r:id="rId10"/>
          <w:footerReference w:type="default" r:id="rId11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4C49B5">
        <w:trPr>
          <w:trHeight w:val="135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11. Доля снижения потребления электрической энергии уличной городской электрической сети в рамках энергосервисного контракта</w:t>
            </w:r>
          </w:p>
        </w:tc>
      </w:tr>
      <w:tr w:rsidR="004C49B5">
        <w:trPr>
          <w:trHeight w:val="199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 xml:space="preserve">12. Количество публикаций в средствах массовой информации, в социальных сетях, на официальном сайте по </w:t>
            </w:r>
            <w:r>
              <w:rPr>
                <w:rStyle w:val="CharacterStyle10"/>
                <w:rFonts w:eastAsia="Calibri"/>
              </w:rPr>
              <w:t>информированию населения и предприятий по энергосбережению и энергоэффективности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Объем финансирования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ВСЕГО: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570 124,3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программы по годам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в том числе:</w:t>
            </w:r>
          </w:p>
        </w:tc>
      </w:tr>
      <w:tr w:rsidR="004C49B5">
        <w:trPr>
          <w:trHeight w:val="132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реализации, тыс. рублей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2024 год - 127 691,2 тыс. рублей, </w:t>
            </w:r>
            <w:r>
              <w:rPr>
                <w:rStyle w:val="CharacterStyle5"/>
                <w:rFonts w:eastAsia="Calibri"/>
              </w:rPr>
              <w:br/>
              <w:t xml:space="preserve">2025 год - 128 479,1 тыс. рублей, </w:t>
            </w:r>
            <w:r>
              <w:rPr>
                <w:rStyle w:val="CharacterStyle5"/>
                <w:rFonts w:eastAsia="Calibri"/>
              </w:rPr>
              <w:br/>
              <w:t xml:space="preserve">2026 год - 158 672,4 тыс. рублей, </w:t>
            </w:r>
            <w:r>
              <w:rPr>
                <w:rStyle w:val="CharacterStyle5"/>
                <w:rFonts w:eastAsia="Calibri"/>
              </w:rPr>
              <w:br/>
              <w:t>2027 год - 155 281,6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4"/>
              <w:rPr>
                <w:rStyle w:val="CharacterStyle4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из них: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областной бюджет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238 827,1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4C49B5">
        <w:trPr>
          <w:trHeight w:val="133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- 35 814,5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- 62 641,2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- 89 158,6 тыс. рублей, </w:t>
            </w:r>
            <w:r>
              <w:rPr>
                <w:rStyle w:val="CharacterStyle11"/>
                <w:rFonts w:eastAsia="Calibri"/>
              </w:rPr>
              <w:br/>
              <w:t>2027 год - 51 212,8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федеральный бюджет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0,0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4C49B5">
        <w:trPr>
          <w:trHeight w:val="1335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- 0,0 тыс. рублей, </w:t>
            </w:r>
            <w:r>
              <w:rPr>
                <w:rStyle w:val="CharacterStyle11"/>
                <w:rFonts w:eastAsia="Calibri"/>
              </w:rPr>
              <w:br/>
            </w:r>
            <w:r>
              <w:rPr>
                <w:rStyle w:val="CharacterStyle11"/>
                <w:rFonts w:eastAsia="Calibri"/>
              </w:rPr>
              <w:t xml:space="preserve">2025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2026 год - 0,0 тыс. рублей, </w:t>
            </w:r>
            <w:r>
              <w:rPr>
                <w:rStyle w:val="CharacterStyle11"/>
                <w:rFonts w:eastAsia="Calibri"/>
              </w:rPr>
              <w:br/>
              <w:t>2027 год - 0,0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местный бюджет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331 297,2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4C49B5">
        <w:trPr>
          <w:trHeight w:val="135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- 91 876,7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- 65 837,9 тыс. рублей, </w:t>
            </w:r>
            <w:r>
              <w:rPr>
                <w:rStyle w:val="CharacterStyle11"/>
                <w:rFonts w:eastAsia="Calibri"/>
              </w:rPr>
              <w:br/>
            </w:r>
            <w:r>
              <w:rPr>
                <w:rStyle w:val="CharacterStyle11"/>
                <w:rFonts w:eastAsia="Calibri"/>
              </w:rPr>
              <w:t xml:space="preserve">2026 год - 69 513,8 тыс. рублей, </w:t>
            </w:r>
            <w:r>
              <w:rPr>
                <w:rStyle w:val="CharacterStyle11"/>
                <w:rFonts w:eastAsia="Calibri"/>
              </w:rPr>
              <w:br/>
              <w:t>2027 год - 104 068,8 тыс. рублей</w:t>
            </w:r>
          </w:p>
        </w:tc>
      </w:tr>
    </w:tbl>
    <w:p w:rsidR="004C49B5" w:rsidRDefault="004C49B5">
      <w:pPr>
        <w:sectPr w:rsidR="004C49B5">
          <w:headerReference w:type="default" r:id="rId12"/>
          <w:footerReference w:type="default" r:id="rId13"/>
          <w:pgSz w:w="12240" w:h="15840"/>
          <w:pgMar w:top="950" w:right="1440" w:bottom="1440" w:left="1440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3255"/>
        <w:gridCol w:w="5535"/>
      </w:tblGrid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внебюджетные источники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0,0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>в том числе:</w:t>
            </w:r>
          </w:p>
        </w:tc>
      </w:tr>
      <w:tr w:rsidR="004C49B5">
        <w:trPr>
          <w:trHeight w:val="135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9"/>
              <w:rPr>
                <w:rStyle w:val="CharacterStyle9"/>
                <w:rFonts w:eastAsia="Calibri"/>
              </w:rPr>
            </w:pP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1"/>
              <w:rPr>
                <w:rStyle w:val="CharacterStyle11"/>
                <w:rFonts w:eastAsia="Calibri"/>
              </w:rPr>
            </w:pPr>
            <w:r>
              <w:rPr>
                <w:rStyle w:val="CharacterStyle11"/>
                <w:rFonts w:eastAsia="Calibri"/>
              </w:rPr>
              <w:t xml:space="preserve">2024 год - 0,0 тыс. рублей, </w:t>
            </w:r>
            <w:r>
              <w:rPr>
                <w:rStyle w:val="CharacterStyle11"/>
                <w:rFonts w:eastAsia="Calibri"/>
              </w:rPr>
              <w:br/>
              <w:t xml:space="preserve">2025 год - 0,0 тыс. рублей, </w:t>
            </w:r>
            <w:r>
              <w:rPr>
                <w:rStyle w:val="CharacterStyle11"/>
                <w:rFonts w:eastAsia="Calibri"/>
              </w:rPr>
              <w:br/>
            </w:r>
            <w:r>
              <w:rPr>
                <w:rStyle w:val="CharacterStyle11"/>
                <w:rFonts w:eastAsia="Calibri"/>
              </w:rPr>
              <w:t xml:space="preserve">2026 год - 0,0 тыс. рублей, </w:t>
            </w:r>
            <w:r>
              <w:rPr>
                <w:rStyle w:val="CharacterStyle11"/>
                <w:rFonts w:eastAsia="Calibri"/>
              </w:rPr>
              <w:br/>
              <w:t>2027 год - 0,0 тыс. рублей</w:t>
            </w: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7"/>
              <w:rPr>
                <w:rStyle w:val="CharacterStyle7"/>
                <w:rFonts w:eastAsia="Calibri"/>
              </w:rPr>
            </w:pPr>
            <w:r>
              <w:rPr>
                <w:rStyle w:val="CharacterStyle7"/>
                <w:rFonts w:eastAsia="Calibri"/>
              </w:rPr>
              <w:t>Адрес размещения</w:t>
            </w:r>
          </w:p>
        </w:tc>
        <w:tc>
          <w:tcPr>
            <w:tcW w:w="55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8"/>
              <w:rPr>
                <w:rStyle w:val="CharacterStyle8"/>
                <w:rFonts w:eastAsia="Calibri"/>
              </w:rPr>
            </w:pP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муниципальной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программы в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информационно-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-телекоммуникационной</w:t>
            </w:r>
          </w:p>
        </w:tc>
        <w:tc>
          <w:tcPr>
            <w:tcW w:w="5535" w:type="dxa"/>
            <w:tcBorders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13"/>
              <w:rPr>
                <w:rStyle w:val="CharacterStyle13"/>
                <w:rFonts w:eastAsia="Calibri"/>
              </w:rPr>
            </w:pPr>
          </w:p>
        </w:tc>
      </w:tr>
      <w:tr w:rsidR="004C49B5">
        <w:trPr>
          <w:trHeight w:val="360"/>
        </w:trPr>
        <w:tc>
          <w:tcPr>
            <w:tcW w:w="285" w:type="dxa"/>
          </w:tcPr>
          <w:p w:rsidR="004C49B5" w:rsidRDefault="004C49B5">
            <w:pPr>
              <w:rPr>
                <w:rStyle w:val="FakeCharacterStyle"/>
              </w:rPr>
            </w:pPr>
          </w:p>
        </w:tc>
        <w:tc>
          <w:tcPr>
            <w:tcW w:w="32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8547A8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сети Интернет</w:t>
            </w:r>
          </w:p>
        </w:tc>
        <w:tc>
          <w:tcPr>
            <w:tcW w:w="5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49B5" w:rsidRDefault="004C49B5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</w:tr>
    </w:tbl>
    <w:p w:rsidR="004C49B5" w:rsidRDefault="004C49B5">
      <w:pPr>
        <w:spacing w:line="15" w:lineRule="exact"/>
      </w:pPr>
    </w:p>
    <w:sectPr w:rsidR="004C49B5">
      <w:headerReference w:type="default" r:id="rId14"/>
      <w:footerReference w:type="default" r:id="rId15"/>
      <w:pgSz w:w="12240" w:h="15840"/>
      <w:pgMar w:top="950" w:right="1440" w:bottom="144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547A8">
      <w:r>
        <w:separator/>
      </w:r>
    </w:p>
  </w:endnote>
  <w:endnote w:type="continuationSeparator" w:id="0">
    <w:p w:rsidR="00000000" w:rsidRDefault="00854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547A8">
      <w:r>
        <w:separator/>
      </w:r>
    </w:p>
  </w:footnote>
  <w:footnote w:type="continuationSeparator" w:id="0">
    <w:p w:rsidR="00000000" w:rsidRDefault="00854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9B5" w:rsidRDefault="004C49B5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9B5"/>
    <w:rsid w:val="004C49B5"/>
    <w:rsid w:val="0085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733D7"/>
  <w15:docId w15:val="{829BDFA4-60AF-4D8E-845C-E8626058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 Алла Владимировна</dc:creator>
  <cp:lastModifiedBy>Лысенко Алла Владимировна</cp:lastModifiedBy>
  <cp:revision>2</cp:revision>
  <dcterms:created xsi:type="dcterms:W3CDTF">2026-08-05T10:04:00Z</dcterms:created>
  <dcterms:modified xsi:type="dcterms:W3CDTF">2026-08-05T10:04:00Z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